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84" w:rsidRDefault="00F27B02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sz w:val="36"/>
          <w:szCs w:val="36"/>
        </w:rPr>
        <w:t>抢抓高水平地方高校建设机遇</w:t>
      </w:r>
    </w:p>
    <w:p w:rsidR="00E15B84" w:rsidRDefault="00F27B02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sz w:val="36"/>
          <w:szCs w:val="36"/>
        </w:rPr>
        <w:t>加快发展特色显著的一流理工科大学</w:t>
      </w:r>
    </w:p>
    <w:p w:rsidR="00E15B84" w:rsidRDefault="00F27B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上海理工大学</w:t>
      </w:r>
      <w:r w:rsidR="00F53F22">
        <w:rPr>
          <w:rFonts w:ascii="Times New Roman" w:eastAsia="仿宋_GB2312" w:hAnsi="Times New Roman" w:cs="Times New Roman" w:hint="eastAsia"/>
          <w:sz w:val="32"/>
          <w:szCs w:val="32"/>
        </w:rPr>
        <w:t>抢抓高水平地方高校建设机遇，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聚焦特色优势，对接重大需求，以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精兵作战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的思路打造特色显著的一流理工科大学。</w:t>
      </w:r>
    </w:p>
    <w:p w:rsidR="00E15B84" w:rsidRDefault="00F27B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建</w:t>
      </w:r>
      <w:r>
        <w:rPr>
          <w:rFonts w:ascii="Times New Roman" w:eastAsia="黑体" w:hAnsi="Times New Roman" w:cs="Times New Roman" w:hint="eastAsia"/>
          <w:sz w:val="32"/>
          <w:szCs w:val="32"/>
        </w:rPr>
        <w:t>设国际实验室和特色平台，推动</w:t>
      </w:r>
      <w:r>
        <w:rPr>
          <w:rFonts w:ascii="Times New Roman" w:eastAsia="黑体" w:hAnsi="Times New Roman" w:cs="Times New Roman"/>
          <w:sz w:val="32"/>
          <w:szCs w:val="32"/>
        </w:rPr>
        <w:t>发展</w:t>
      </w:r>
      <w:r>
        <w:rPr>
          <w:rFonts w:ascii="Times New Roman" w:eastAsia="黑体" w:hAnsi="Times New Roman" w:cs="Times New Roman" w:hint="eastAsia"/>
          <w:sz w:val="32"/>
          <w:szCs w:val="32"/>
        </w:rPr>
        <w:t>一流学科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借鉴劳伦斯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伯克利等国际实验室发展经验，以国际团队、国际标准、国际通行管理方式，打造国际实验室和特色平台，推动一流学科建设。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一是建设未来光学国际实验室，推动发展光学工程学科。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在保持和拓展全球领先的太赫兹等方向的同时，前瞻布局极端光学、量子生物光子学等前沿领域</w:t>
      </w:r>
      <w:r w:rsidR="00464E5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推进中国工程院外籍院士顾敏短聘转长聘</w:t>
      </w:r>
      <w:r w:rsidR="00464E53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积极申报国家重点实验室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二是建设智能制造国际实验室建设，推动发展机械工程、动力工程及工程热物理学科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。与德国弗劳恩霍夫研究会共建联合实验室，制定智能机床</w:t>
      </w:r>
      <w:r>
        <w:rPr>
          <w:rFonts w:ascii="Times New Roman" w:eastAsia="仿宋_GB2312" w:hAnsi="Times New Roman" w:cs="Times New Roman"/>
          <w:sz w:val="32"/>
          <w:szCs w:val="32"/>
        </w:rPr>
        <w:t>ISO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国际标准；引进澳大利亚国家轻合金研究中心增材制造团队；在国家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两机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专项、可燃冰应用等领域开展重大攻关；联合行业龙头企业开展智能机床设计、制冷与低温新技术等攻关。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三是建设医疗器械与康复工程国际实验室，推动发展生物医学工程学科。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引进人工心脏研究团队，与微创集团、德国亚琛工业大学等共建联合实验室；联合行业龙头企业，在微创医疗器械、食品生物技术等领域加大技术攻关。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四是建设系统管理特色平台，推动发展系统科学学科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。引进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全球高被引科学家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团队，布局高端装备系统集成；引进德国汉堡大学</w:t>
      </w:r>
      <w:r>
        <w:rPr>
          <w:rFonts w:ascii="Times New Roman" w:eastAsia="仿宋_GB2312" w:hAnsi="Times New Roman" w:cs="Times New Roman"/>
          <w:sz w:val="32"/>
          <w:szCs w:val="32"/>
        </w:rPr>
        <w:t>C4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教授组建机器智能研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究院；加强管理、控制、数学等多学科的交叉聚焦。</w:t>
      </w:r>
    </w:p>
    <w:p w:rsidR="0012518A" w:rsidRDefault="00F27B02" w:rsidP="0012518A">
      <w:pPr>
        <w:tabs>
          <w:tab w:val="right" w:pos="8306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高举卓越工程教育大旗，全面提升工程人才培养质量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一方面，着力破解</w:t>
      </w:r>
      <w:r>
        <w:rPr>
          <w:rFonts w:ascii="Times New Roman" w:eastAsia="楷体_GB2312" w:hAnsi="Times New Roman" w:cs="Times New Roman"/>
          <w:b/>
          <w:sz w:val="32"/>
          <w:szCs w:val="32"/>
        </w:rPr>
        <w:t>“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轻松</w:t>
      </w:r>
      <w:r w:rsidR="0002737E">
        <w:rPr>
          <w:rFonts w:ascii="Times New Roman" w:eastAsia="楷体_GB2312" w:hAnsi="Times New Roman" w:cs="Times New Roman" w:hint="eastAsia"/>
          <w:b/>
          <w:sz w:val="32"/>
          <w:szCs w:val="32"/>
        </w:rPr>
        <w:t>的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大学</w:t>
      </w:r>
      <w:r>
        <w:rPr>
          <w:rFonts w:ascii="Times New Roman" w:eastAsia="楷体_GB2312" w:hAnsi="Times New Roman" w:cs="Times New Roman"/>
          <w:b/>
          <w:sz w:val="32"/>
          <w:szCs w:val="32"/>
        </w:rPr>
        <w:t>”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困境，提升本科教育质量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一是探索构建荣誉学位体系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。引导具备学习能力的学生自主挑战难度更高的荣誉课程，授予荣誉学位，逐步构建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宽进严出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体系，并吸引更多学生主动参与，扩大高标准培养模式覆盖面。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二是不断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完善学风建设机制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。以寝室为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细胞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 w:rsidR="00D70FBE">
        <w:rPr>
          <w:rFonts w:ascii="Times New Roman" w:eastAsia="仿宋_GB2312" w:hAnsi="Times New Roman" w:cs="Times New Roman" w:hint="eastAsia"/>
          <w:sz w:val="32"/>
          <w:szCs w:val="32"/>
        </w:rPr>
        <w:t>、以一年级为重点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抓学风建设</w:t>
      </w:r>
      <w:r w:rsidR="00464E5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推进以专业教师和思政教师集体备课为抓手的课程思政改革</w:t>
      </w:r>
      <w:r w:rsidR="00823D0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以加强计算机思维训练和更新课程结构为抓手的计算机公共课改革</w:t>
      </w:r>
      <w:r w:rsidR="00823D0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以借鉴中外合作项目语言教学模式为抓手的外语教学改革</w:t>
      </w:r>
      <w:r w:rsidR="00823D0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以联赛制为抓手、以兴趣培养为目标的体育教学改革。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另一方面，抓住高水平大学建设契机，加快工程教育改革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一是以产业学院为切入点，实施</w:t>
      </w:r>
      <w:r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卓越工程师计划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2.0”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。借鉴医学院建设临床教学医院模式，推进建设一批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临场教学企业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 w:rsidR="0012518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以机械工程、生物医学工程等学科为试点，校企共建现场教学平台、工程能力训练平台、工程技术开发平台。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二是以项目课程为切入点，加快新工科教育改革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。以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大一流学科为试点，由每位承担国家科研项目的教师开设项目课程，本科生以课程形式参与项目研究，培养综合能力</w:t>
      </w:r>
      <w:r w:rsidR="00464E5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加快推进专业国际认证、研本课程贯通等工程教育改革。</w:t>
      </w:r>
    </w:p>
    <w:p w:rsidR="00E15B84" w:rsidRDefault="00F27B02" w:rsidP="009742E9">
      <w:pPr>
        <w:tabs>
          <w:tab w:val="right" w:pos="8306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大力引进和培育高水平教师队伍，为高水平大学建设提供关键支撑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一是加大青年教师引进和培养</w:t>
      </w:r>
      <w:r w:rsidR="001B7DA3">
        <w:rPr>
          <w:rFonts w:ascii="Times New Roman" w:eastAsia="仿宋_GB2312" w:hAnsi="Times New Roman" w:cs="Times New Roman" w:hint="eastAsia"/>
          <w:sz w:val="32"/>
          <w:szCs w:val="32"/>
        </w:rPr>
        <w:t>。试点实施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沪江博士后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计划，对接国际薪酬标准，引进国内外优秀青年人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才；实施青年教师助教制、青年教师科研配套制、青年教师培养计划等，为青年教师成长提供平台；</w:t>
      </w:r>
      <w:r>
        <w:rPr>
          <w:rFonts w:ascii="Times New Roman" w:eastAsia="仿宋_GB2312" w:hAnsi="Times New Roman" w:cs="Times New Roman"/>
          <w:sz w:val="32"/>
          <w:szCs w:val="32"/>
        </w:rPr>
        <w:t>整体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承租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套公租房、与大学科技园共建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套人才公寓、</w:t>
      </w:r>
      <w:r>
        <w:rPr>
          <w:rFonts w:ascii="Times New Roman" w:eastAsia="仿宋_GB2312" w:hAnsi="Times New Roman" w:cs="Times New Roman"/>
          <w:sz w:val="32"/>
          <w:szCs w:val="32"/>
        </w:rPr>
        <w:t>实施青年教师首聘底薪制等方式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解决青年教师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后顾之忧</w:t>
      </w:r>
      <w:r w:rsidR="00C66AB1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打破任职年限和身份限制，设置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教学擂台赛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学术擂台赛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工程擂台赛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等，为青年教师发展提供政策激励。目前，全校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岁以下获评正高职称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岁以下获评副高职称</w:t>
      </w:r>
      <w:r>
        <w:rPr>
          <w:rFonts w:ascii="Times New Roman" w:eastAsia="仿宋_GB2312" w:hAnsi="Times New Roman" w:cs="Times New Roman"/>
          <w:sz w:val="32"/>
          <w:szCs w:val="32"/>
        </w:rPr>
        <w:t>85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人；多个</w:t>
      </w:r>
      <w:r w:rsidR="00A03B72">
        <w:rPr>
          <w:rFonts w:ascii="Times New Roman" w:eastAsia="仿宋_GB2312" w:hAnsi="Times New Roman" w:cs="Times New Roman" w:hint="eastAsia"/>
          <w:sz w:val="32"/>
          <w:szCs w:val="32"/>
        </w:rPr>
        <w:t>创新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团队平均年龄均未超过</w:t>
      </w:r>
      <w:r>
        <w:rPr>
          <w:rFonts w:ascii="Times New Roman" w:eastAsia="仿宋_GB2312" w:hAnsi="Times New Roman" w:cs="Times New Roman"/>
          <w:sz w:val="32"/>
          <w:szCs w:val="32"/>
        </w:rPr>
        <w:t>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岁。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二是加快人才引育国际化进程</w:t>
      </w:r>
      <w:r w:rsidR="001B7DA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A75DC9">
        <w:rPr>
          <w:rFonts w:ascii="Times New Roman" w:eastAsia="仿宋_GB2312" w:hAnsi="Times New Roman" w:cs="Times New Roman" w:hint="eastAsia"/>
          <w:sz w:val="32"/>
          <w:szCs w:val="32"/>
        </w:rPr>
        <w:t>探索实施特聘研究员计划，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采取特邀访教和建设学术休假基地等方式，阶段性特聘一批国际高水平研究人员来校工作；实施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乘风计划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，选送优秀青年教师赴全球百强高校进行两年以上访学，选送优秀青年管理干部赴世界一流大学短期培训。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三是启动试点劳动合同制改革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A75DC9">
        <w:rPr>
          <w:rFonts w:ascii="Times New Roman" w:eastAsia="仿宋_GB2312" w:hAnsi="Times New Roman" w:cs="Times New Roman" w:hint="eastAsia"/>
          <w:sz w:val="32"/>
          <w:szCs w:val="32"/>
        </w:rPr>
        <w:t>探索灵活用人机制，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以劳动合同制形式直接用工</w:t>
      </w:r>
      <w:r w:rsidR="001B7DA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构建教研、管理和辅助人员合理结构和用工方式</w:t>
      </w:r>
      <w:r w:rsidR="00977EF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形成市场化的人才评价、流动、激励机制。</w:t>
      </w:r>
    </w:p>
    <w:sectPr w:rsidR="00E15B84" w:rsidSect="00E15B8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127" w:rsidRDefault="00B65127" w:rsidP="00E15B84">
      <w:r>
        <w:separator/>
      </w:r>
    </w:p>
  </w:endnote>
  <w:endnote w:type="continuationSeparator" w:id="1">
    <w:p w:rsidR="00B65127" w:rsidRDefault="00B65127" w:rsidP="00E15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Microsoft YaHei UI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0611718"/>
    </w:sdtPr>
    <w:sdtContent>
      <w:p w:rsidR="00E15B84" w:rsidRDefault="000B288B">
        <w:pPr>
          <w:pStyle w:val="a4"/>
          <w:jc w:val="center"/>
        </w:pPr>
        <w:r>
          <w:fldChar w:fldCharType="begin"/>
        </w:r>
        <w:r w:rsidR="00F27B02">
          <w:instrText>PAGE   \* MERGEFORMAT</w:instrText>
        </w:r>
        <w:r>
          <w:fldChar w:fldCharType="separate"/>
        </w:r>
        <w:r w:rsidR="00977EF1" w:rsidRPr="00977EF1">
          <w:rPr>
            <w:noProof/>
            <w:lang w:val="zh-CN"/>
          </w:rPr>
          <w:t>2</w:t>
        </w:r>
        <w:r>
          <w:fldChar w:fldCharType="end"/>
        </w:r>
      </w:p>
    </w:sdtContent>
  </w:sdt>
  <w:p w:rsidR="00E15B84" w:rsidRDefault="00E15B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127" w:rsidRDefault="00B65127" w:rsidP="00E15B84">
      <w:r>
        <w:separator/>
      </w:r>
    </w:p>
  </w:footnote>
  <w:footnote w:type="continuationSeparator" w:id="1">
    <w:p w:rsidR="00B65127" w:rsidRDefault="00B65127" w:rsidP="00E15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B84"/>
    <w:rsid w:val="0002737E"/>
    <w:rsid w:val="00033B51"/>
    <w:rsid w:val="000B288B"/>
    <w:rsid w:val="000B355C"/>
    <w:rsid w:val="0012518A"/>
    <w:rsid w:val="00135C08"/>
    <w:rsid w:val="001B7DA3"/>
    <w:rsid w:val="00417F1E"/>
    <w:rsid w:val="00464E53"/>
    <w:rsid w:val="00485B06"/>
    <w:rsid w:val="00571CC5"/>
    <w:rsid w:val="006451FC"/>
    <w:rsid w:val="00823D07"/>
    <w:rsid w:val="009742E9"/>
    <w:rsid w:val="00977EF1"/>
    <w:rsid w:val="00A03B72"/>
    <w:rsid w:val="00A75DC9"/>
    <w:rsid w:val="00A77F79"/>
    <w:rsid w:val="00B65127"/>
    <w:rsid w:val="00C66AB1"/>
    <w:rsid w:val="00D110A3"/>
    <w:rsid w:val="00D70FBE"/>
    <w:rsid w:val="00E15B84"/>
    <w:rsid w:val="00F27B02"/>
    <w:rsid w:val="00F5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15B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15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15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rsid w:val="00E15B84"/>
    <w:pPr>
      <w:snapToGrid w:val="0"/>
      <w:jc w:val="left"/>
    </w:pPr>
    <w:rPr>
      <w:sz w:val="18"/>
      <w:szCs w:val="18"/>
    </w:rPr>
  </w:style>
  <w:style w:type="character" w:styleId="a7">
    <w:name w:val="footnote reference"/>
    <w:basedOn w:val="a0"/>
    <w:uiPriority w:val="99"/>
    <w:unhideWhenUsed/>
    <w:qFormat/>
    <w:rsid w:val="00E15B84"/>
    <w:rPr>
      <w:vertAlign w:val="superscript"/>
    </w:rPr>
  </w:style>
  <w:style w:type="paragraph" w:customStyle="1" w:styleId="1">
    <w:name w:val="列出段落1"/>
    <w:basedOn w:val="a"/>
    <w:uiPriority w:val="34"/>
    <w:qFormat/>
    <w:rsid w:val="00E15B8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E15B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15B84"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sid w:val="00E15B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15B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239</Words>
  <Characters>1363</Characters>
  <Application>Microsoft Office Word</Application>
  <DocSecurity>0</DocSecurity>
  <Lines>11</Lines>
  <Paragraphs>3</Paragraphs>
  <ScaleCrop>false</ScaleCrop>
  <Company>Lenovo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李川</dc:creator>
  <cp:lastModifiedBy>Administrator</cp:lastModifiedBy>
  <cp:revision>48</cp:revision>
  <dcterms:created xsi:type="dcterms:W3CDTF">2018-08-24T18:36:00Z</dcterms:created>
  <dcterms:modified xsi:type="dcterms:W3CDTF">2018-09-05T08:47:00Z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2052-8.8.0</vt:lpwstr>
  </property>
</Properties>
</file>